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Investigaciones del Tráfico de Drogas Ilícitas.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635000"/>
                <wp:effectExtent b="0" l="0" r="0" t="0"/>
                <wp:wrapTopAndBottom distB="0" distT="0"/>
                <wp:docPr id="3" name=""/>
                <a:graphic>
                  <a:graphicData uri="http://schemas.microsoft.com/office/word/2010/wordprocessingGroup">
                    <wpg:wgp>
                      <wpg:cNvGrpSpPr/>
                      <wpg:grpSpPr>
                        <a:xfrm>
                          <a:off x="2311950" y="3462500"/>
                          <a:ext cx="6068060" cy="635000"/>
                          <a:chOff x="2311950" y="3462500"/>
                          <a:chExt cx="6068100" cy="635000"/>
                        </a:xfrm>
                      </wpg:grpSpPr>
                      <wpg:grpSp>
                        <wpg:cNvGrpSpPr/>
                        <wpg:grpSpPr>
                          <a:xfrm>
                            <a:off x="2311970" y="3462500"/>
                            <a:ext cx="6068060" cy="635000"/>
                            <a:chOff x="2311653" y="3594580"/>
                            <a:chExt cx="6068695" cy="460722"/>
                          </a:xfrm>
                        </wpg:grpSpPr>
                        <wps:wsp>
                          <wps:cNvSpPr/>
                          <wps:cNvPr id="3" name="Shape 3"/>
                          <wps:spPr>
                            <a:xfrm>
                              <a:off x="2311653" y="3594580"/>
                              <a:ext cx="6068675" cy="46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460722"/>
                              <a:chOff x="0" y="0"/>
                              <a:chExt cx="6068695" cy="460722"/>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460720"/>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Workshop: herramientas tecnológicas para la actualización técnico-administrativa.</w:t>
                                  </w:r>
                                </w:p>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635000"/>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635000"/>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Descripción:</w:t>
        <w:tab/>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La propuesta educativa para la Superintendencia de Investigaciones del Tráfico de Drogas Ilícitas centra su marco en la transformación digital de la gestión pública provincial, destacando la Gestión Documental Electrónica Buenos Aires (GDEBA) como plataforma clave para despapelizar trámites, mejorar la eficiencia, transparencia y accesibilidad, y promover la seguridad y protección de datos personales en un entorno de interconexión entre el interior y exterior de la institución. Se enfatiza la necesidad de comprender la estructura organizativa, las plataformas ministeriales y herramientas como SIPP, RedPol y formularios electrónicos, así como la importancia de una alfabetización digital y un manejo seguro de dichas herramientas para optimizar tareas técnicas, administrativas y operativas. En este marco, el taller busca actualizar saberes, dotar de competencias teórico-prácticas y fomentar una cultura institucional unificada, orientada a la coherencia, la unidad y el profesionalismo en la implementación de tecnologías para la gestión y el servicio policial.</w:t>
      </w:r>
    </w:p>
    <w:p w:rsidR="00000000" w:rsidDel="00000000" w:rsidP="00000000" w:rsidRDefault="00000000" w:rsidRPr="00000000" w14:paraId="00000006">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rPr>
          <w:rFonts w:ascii="Arial" w:cs="Arial" w:eastAsia="Arial" w:hAnsi="Arial"/>
          <w:color w:val="000000"/>
        </w:rPr>
      </w:pPr>
      <w:r w:rsidDel="00000000" w:rsidR="00000000" w:rsidRPr="00000000">
        <w:rPr>
          <w:rFonts w:ascii="Arial" w:cs="Arial" w:eastAsia="Arial" w:hAnsi="Arial"/>
          <w:color w:val="000000"/>
          <w:rtl w:val="0"/>
        </w:rPr>
        <w:t xml:space="preserve">Personal policial que integra las distintas Delegaciones y Subdelegaciones de la Superintendencia de Investigaciones del Tráfico de Drogas Ilícitas y abierta a todo el personal.</w:t>
      </w:r>
    </w:p>
    <w:p w:rsidR="00000000" w:rsidDel="00000000" w:rsidP="00000000" w:rsidRDefault="00000000" w:rsidRPr="00000000" w14:paraId="00000009">
      <w:pPr>
        <w:spacing w:line="360" w:lineRule="auto"/>
        <w:ind w:left="14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w:t>
      </w:r>
      <w:r w:rsidDel="00000000" w:rsidR="00000000" w:rsidRPr="00000000">
        <w:rPr>
          <w:rFonts w:ascii="Arial" w:cs="Arial" w:eastAsia="Arial" w:hAnsi="Arial"/>
          <w:rtl w:val="0"/>
        </w:rPr>
        <w:t xml:space="preserve">:  virtual.</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3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100.</w:t>
      </w:r>
    </w:p>
    <w:p w:rsidR="00000000" w:rsidDel="00000000" w:rsidP="00000000" w:rsidRDefault="00000000" w:rsidRPr="00000000" w14:paraId="0000000F">
      <w:pPr>
        <w:pStyle w:val="Heading1"/>
        <w:spacing w:line="360" w:lineRule="auto"/>
        <w:ind w:firstLine="143"/>
        <w:rPr>
          <w:rFonts w:ascii="Arial" w:cs="Arial" w:eastAsia="Arial" w:hAnsi="Arial"/>
          <w:b w:val="0"/>
          <w:bCs w:val="0"/>
        </w:rPr>
      </w:pPr>
      <w:r w:rsidDel="00000000" w:rsidR="00000000" w:rsidRPr="00000000">
        <w:rPr>
          <w:rtl w:val="0"/>
        </w:rPr>
      </w:r>
    </w:p>
    <w:p w:rsidR="00000000" w:rsidDel="00000000" w:rsidP="00000000" w:rsidRDefault="00000000" w:rsidRPr="00000000" w14:paraId="00000010">
      <w:pPr>
        <w:shd w:fill="ffffff" w:val="clear"/>
        <w:tabs>
          <w:tab w:val="left" w:leader="none" w:pos="426"/>
        </w:tabs>
        <w:spacing w:line="360" w:lineRule="auto"/>
        <w:rPr>
          <w:rFonts w:ascii="Arial" w:cs="Arial" w:eastAsia="Arial" w:hAnsi="Arial"/>
        </w:rPr>
      </w:pPr>
      <w:r w:rsidDel="00000000" w:rsidR="00000000" w:rsidRPr="00000000">
        <w:rPr>
          <w:rFonts w:ascii="Arial" w:cs="Arial" w:eastAsia="Arial" w:hAnsi="Arial"/>
          <w:b w:val="1"/>
          <w:bCs w:val="1"/>
          <w:rtl w:val="0"/>
        </w:rPr>
        <w:t xml:space="preserve">  Fecha de inicio y finalización</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rtl w:val="0"/>
        </w:rPr>
        <w:t xml:space="preserve"> durante los meses de marzo y abril de 2026.</w:t>
      </w:r>
    </w:p>
    <w:p w:rsidR="00000000" w:rsidDel="00000000" w:rsidP="00000000" w:rsidRDefault="00000000" w:rsidRPr="00000000" w14:paraId="00000011">
      <w:pPr>
        <w:shd w:fill="ffffff" w:val="clear"/>
        <w:tabs>
          <w:tab w:val="left" w:leader="none" w:pos="426"/>
        </w:tabs>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line="360" w:lineRule="auto"/>
        <w:ind w:left="143" w:firstLine="0"/>
        <w:jc w:val="both"/>
        <w:rPr>
          <w:rFonts w:ascii="Arial" w:cs="Arial" w:eastAsia="Arial" w:hAnsi="Arial"/>
        </w:rPr>
      </w:pPr>
      <w:r w:rsidDel="00000000" w:rsidR="00000000" w:rsidRPr="00000000">
        <w:rPr>
          <w:rFonts w:ascii="Arial" w:cs="Arial" w:eastAsia="Arial" w:hAnsi="Arial"/>
          <w:b w:val="1"/>
          <w:bCs w:val="1"/>
          <w:rtl w:val="0"/>
        </w:rPr>
        <w:t xml:space="preserve">Cupo: </w:t>
      </w:r>
      <w:r w:rsidDel="00000000" w:rsidR="00000000" w:rsidRPr="00000000">
        <w:rPr>
          <w:rFonts w:ascii="Arial" w:cs="Arial" w:eastAsia="Arial" w:hAnsi="Arial"/>
          <w:rtl w:val="0"/>
        </w:rPr>
        <w:t xml:space="preserve">a demanda de la superioridad.</w:t>
      </w:r>
    </w:p>
    <w:p w:rsidR="00000000" w:rsidDel="00000000" w:rsidP="00000000" w:rsidRDefault="00000000" w:rsidRPr="00000000" w14:paraId="00000013">
      <w:pPr>
        <w:spacing w:line="360" w:lineRule="auto"/>
        <w:ind w:left="14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78" w:line="360" w:lineRule="auto"/>
        <w:ind w:left="720" w:right="14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Correo electrónico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direccionprevencionlaplata@gmail.com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9">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direccionprevenciondrogasilicitas@mseg.gba.gov.ar</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78" w:line="360" w:lineRule="auto"/>
        <w:ind w:left="720" w:right="14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Teléfono: (011) 4513-6010.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78" w:line="360" w:lineRule="auto"/>
        <w:ind w:left="720" w:right="14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s>
        <w:spacing w:after="0" w:before="42"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63"/>
        </w:tabs>
        <w:spacing w:before="42" w:line="360" w:lineRule="auto"/>
        <w:ind w:left="150" w:firstLine="0"/>
        <w:rPr>
          <w:rFonts w:ascii="Arial" w:cs="Arial" w:eastAsia="Arial" w:hAnsi="Arial"/>
          <w:color w:val="000000"/>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character" w:styleId="Hipervnculo">
    <w:name w:val="Hyperlink"/>
    <w:basedOn w:val="Fuentedeprrafopredeter"/>
    <w:uiPriority w:val="99"/>
    <w:unhideWhenUsed w:val="1"/>
    <w:rsid w:val="003742A3"/>
    <w:rPr>
      <w:color w:val="0000ff" w:themeColor="hyperlink"/>
      <w:u w:val="single"/>
    </w:rPr>
  </w:style>
  <w:style w:type="character" w:styleId="Mencinsinresolver">
    <w:name w:val="Unresolved Mention"/>
    <w:basedOn w:val="Fuentedeprrafopredeter"/>
    <w:uiPriority w:val="99"/>
    <w:semiHidden w:val="1"/>
    <w:unhideWhenUsed w:val="1"/>
    <w:rsid w:val="003742A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reccionprevenciondrogasilicitas@mseg.gba.gov.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ireccionprevencionlaplat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qlE9SwPFBj7ws48hISgaU3IQ==">CgMxLjA4AHIhMVdMckl3WUhZN21SbTRVSV9Id0hmZmhTWGZsSGFzY0gw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2026-02-23T18:31:00Z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